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ind w:left="-720" w:firstLine="0"/>
        <w:jc w:val="center"/>
        <w:rPr>
          <w:rFonts w:ascii="Archivo Black" w:cs="Archivo Black" w:eastAsia="Archivo Black" w:hAnsi="Archivo Black"/>
          <w:color w:val="003f7f"/>
          <w:sz w:val="32"/>
          <w:szCs w:val="32"/>
        </w:rPr>
      </w:pPr>
      <w:r w:rsidDel="00000000" w:rsidR="00000000" w:rsidRPr="00000000">
        <w:rPr>
          <w:rFonts w:ascii="Archivo Black" w:cs="Archivo Black" w:eastAsia="Archivo Black" w:hAnsi="Archivo Black"/>
          <w:color w:val="003f7f"/>
          <w:sz w:val="48"/>
          <w:szCs w:val="48"/>
          <w:rtl w:val="0"/>
        </w:rPr>
        <w:t xml:space="preserve">The Lean Business Model Canvas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720" w:firstLine="0"/>
        <w:jc w:val="center"/>
        <w:rPr>
          <w:sz w:val="30"/>
          <w:szCs w:val="30"/>
        </w:rPr>
      </w:pP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2276856</wp:posOffset>
            </wp:positionH>
            <wp:positionV relativeFrom="page">
              <wp:posOffset>4197096</wp:posOffset>
            </wp:positionV>
            <wp:extent cx="228600" cy="228600"/>
            <wp:effectExtent b="0" l="0" r="0" t="0"/>
            <wp:wrapSquare wrapText="bothSides" distB="0" distT="0" distL="0" distR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2276856</wp:posOffset>
            </wp:positionH>
            <wp:positionV relativeFrom="page">
              <wp:posOffset>2807208</wp:posOffset>
            </wp:positionV>
            <wp:extent cx="228600" cy="228600"/>
            <wp:effectExtent b="0" l="0" r="0" t="0"/>
            <wp:wrapSquare wrapText="bothSides" distB="0" distT="0" distL="0" distR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3895344</wp:posOffset>
            </wp:positionH>
            <wp:positionV relativeFrom="page">
              <wp:posOffset>2807208</wp:posOffset>
            </wp:positionV>
            <wp:extent cx="228600" cy="228600"/>
            <wp:effectExtent b="0" l="0" r="0" t="0"/>
            <wp:wrapSquare wrapText="bothSides" distB="0" distT="0" distL="0" distR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3895344</wp:posOffset>
            </wp:positionH>
            <wp:positionV relativeFrom="page">
              <wp:posOffset>4197096</wp:posOffset>
            </wp:positionV>
            <wp:extent cx="228600" cy="228600"/>
            <wp:effectExtent b="0" l="0" r="0" t="0"/>
            <wp:wrapSquare wrapText="bothSides" distB="0" distT="0" distL="0" distR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4709160</wp:posOffset>
            </wp:positionH>
            <wp:positionV relativeFrom="page">
              <wp:posOffset>5586984</wp:posOffset>
            </wp:positionV>
            <wp:extent cx="228600" cy="228600"/>
            <wp:effectExtent b="0" l="0" r="0" t="0"/>
            <wp:wrapSquare wrapText="bothSides" distB="0" distT="0" distL="0" distR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5513832</wp:posOffset>
            </wp:positionH>
            <wp:positionV relativeFrom="page">
              <wp:posOffset>4197096</wp:posOffset>
            </wp:positionV>
            <wp:extent cx="228600" cy="228600"/>
            <wp:effectExtent b="0" l="0" r="0" t="0"/>
            <wp:wrapSquare wrapText="bothSides" distB="0" distT="0" distL="0" distR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5513832</wp:posOffset>
            </wp:positionH>
            <wp:positionV relativeFrom="page">
              <wp:posOffset>2807208</wp:posOffset>
            </wp:positionV>
            <wp:extent cx="228600" cy="228600"/>
            <wp:effectExtent b="0" l="0" r="0" t="0"/>
            <wp:wrapSquare wrapText="bothSides" distB="0" distT="0" distL="0" distR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7132320</wp:posOffset>
            </wp:positionH>
            <wp:positionV relativeFrom="page">
              <wp:posOffset>4197096</wp:posOffset>
            </wp:positionV>
            <wp:extent cx="228600" cy="228600"/>
            <wp:effectExtent b="0" l="0" r="0" t="0"/>
            <wp:wrapSquare wrapText="bothSides" distB="0" distT="0" distL="0" distR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7132320</wp:posOffset>
            </wp:positionH>
            <wp:positionV relativeFrom="page">
              <wp:posOffset>2807208</wp:posOffset>
            </wp:positionV>
            <wp:extent cx="228600" cy="228600"/>
            <wp:effectExtent b="0" l="0" r="0" t="0"/>
            <wp:wrapSquare wrapText="bothSides" distB="0" distT="0" distL="0" distR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8750808</wp:posOffset>
            </wp:positionH>
            <wp:positionV relativeFrom="page">
              <wp:posOffset>2807208</wp:posOffset>
            </wp:positionV>
            <wp:extent cx="228600" cy="228600"/>
            <wp:effectExtent b="0" l="0" r="0" t="0"/>
            <wp:wrapSquare wrapText="bothSides" distB="0" distT="0" distL="0" distR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8750808</wp:posOffset>
            </wp:positionH>
            <wp:positionV relativeFrom="page">
              <wp:posOffset>4197096</wp:posOffset>
            </wp:positionV>
            <wp:extent cx="228600" cy="228600"/>
            <wp:effectExtent b="0" l="0" r="0" t="0"/>
            <wp:wrapSquare wrapText="bothSides" distB="0" distT="0" distL="0" distR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chivo Black" w:cs="Archivo Black" w:eastAsia="Archivo Black" w:hAnsi="Archivo Black"/>
          <w:sz w:val="48"/>
          <w:szCs w:val="4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8750808</wp:posOffset>
            </wp:positionH>
            <wp:positionV relativeFrom="page">
              <wp:posOffset>5586984</wp:posOffset>
            </wp:positionV>
            <wp:extent cx="228600" cy="228600"/>
            <wp:effectExtent b="0" l="0" r="0" t="0"/>
            <wp:wrapSquare wrapText="bothSides" distB="0" distT="0" distL="0" distR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tblGridChange w:id="0">
          <w:tblGrid>
            <w:gridCol w:w="1296"/>
            <w:gridCol w:w="1296"/>
            <w:gridCol w:w="1296"/>
            <w:gridCol w:w="1296"/>
            <w:gridCol w:w="1296"/>
            <w:gridCol w:w="1296"/>
            <w:gridCol w:w="1296"/>
            <w:gridCol w:w="1296"/>
            <w:gridCol w:w="1296"/>
            <w:gridCol w:w="1296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gridSpan w:val="2"/>
            <w:tcBorders>
              <w:top w:color="003f7f" w:space="0" w:sz="12" w:val="single"/>
              <w:left w:color="003f7f" w:space="0" w:sz="12" w:val="single"/>
              <w:bottom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Problem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3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3f7f" w:space="0" w:sz="12" w:val="single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Solution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 3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3f7f" w:space="0" w:sz="12" w:val="single"/>
              <w:left w:color="003f7f" w:space="0" w:sz="12" w:val="single"/>
              <w:bottom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Unique Value Prop.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Single, clear and compelling message that states why you are different and worth buying</w:t>
            </w:r>
          </w:p>
        </w:tc>
        <w:tc>
          <w:tcPr>
            <w:gridSpan w:val="2"/>
            <w:tcBorders>
              <w:top w:color="003f7f" w:space="0" w:sz="12" w:val="single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Unfair Advantage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Can’t be easily copied or bought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3f7f" w:space="0" w:sz="12" w:val="single"/>
              <w:left w:color="003f7f" w:space="0" w:sz="12" w:val="single"/>
              <w:bottom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Customer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Segments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Target Customers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1.88" w:hRule="atLeast"/>
          <w:tblHeader w:val="0"/>
        </w:trPr>
        <w:tc>
          <w:tcPr>
            <w:gridSpan w:val="2"/>
            <w:tcBorders>
              <w:top w:color="000000" w:space="0" w:sz="0" w:val="nil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Existing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Alternatives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 how these problems are solved today.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3f7f" w:space="0" w:sz="12" w:val="single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Key Metrics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 activities you measure</w:t>
            </w:r>
          </w:p>
        </w:tc>
        <w:tc>
          <w:tcPr>
            <w:gridSpan w:val="2"/>
            <w:tcBorders>
              <w:top w:color="000000" w:space="0" w:sz="0" w:val="nil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High-Level Concept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 your X for Y analogy (e.g. YouTube = Flickr for videos)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3f7f" w:space="0" w:sz="12" w:val="single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Channels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Path to customers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Early Adopters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 the characteristics of your ideal customers.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5"/>
            <w:tcBorders>
              <w:top w:color="003f7f" w:space="0" w:sz="12" w:val="single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Cost Structure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 your fixed and variable costs.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Customer acquisition costs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Distribution costs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Hosting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People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3f7f" w:space="0" w:sz="12" w:val="single"/>
              <w:left w:color="003f7f" w:space="0" w:sz="12" w:val="single"/>
              <w:bottom w:color="003f7f" w:space="0" w:sz="12" w:val="single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Revenue Streams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 your sources of revenue.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Revenue Model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Life Time Value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Revenue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Gross Margin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Blockchain Founders Group GmbH</w:t>
    </w:r>
  </w:p>
  <w:p w:rsidR="00000000" w:rsidDel="00000000" w:rsidP="00000000" w:rsidRDefault="00000000" w:rsidRPr="00000000" w14:paraId="0000003C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Website: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https://blockchain-founders.io/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BFG Superstart incubator program: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https://blockchain-founders.io/bfg-superstars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Contact: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hello@blockchain-founders.io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-342899</wp:posOffset>
          </wp:positionV>
          <wp:extent cx="1309688" cy="654844"/>
          <wp:effectExtent b="0" l="0" r="0" t="0"/>
          <wp:wrapNone/>
          <wp:docPr id="2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6548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.png"/><Relationship Id="rId14" Type="http://schemas.openxmlformats.org/officeDocument/2006/relationships/image" Target="media/image5.png"/><Relationship Id="rId17" Type="http://schemas.openxmlformats.org/officeDocument/2006/relationships/image" Target="media/image1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6.png"/><Relationship Id="rId18" Type="http://schemas.openxmlformats.org/officeDocument/2006/relationships/header" Target="header1.xml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chivo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blockchain-founders.io/" TargetMode="External"/><Relationship Id="rId2" Type="http://schemas.openxmlformats.org/officeDocument/2006/relationships/hyperlink" Target="https://blockchain-founders.io/bfg-superstars" TargetMode="External"/><Relationship Id="rId3" Type="http://schemas.openxmlformats.org/officeDocument/2006/relationships/hyperlink" Target="mailto:hello@blockchain-founders.i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